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6762-f1a5_chilwa.htm"/>
      <w:bookmarkStart w:id="1" w:name="ksea0306762f1a5_chilwa"/>
      <w:bookmarkEnd w:id="0"/>
      <w:bookmarkEnd w:id="1"/>
      <w:r>
        <w:rPr>
          <w:rFonts w:ascii="Times New Roman;Times;Serif" w:hAnsi="Times New Roman;Times;Serif"/>
          <w:b/>
          <w:i w:val="false"/>
          <w:caps w:val="false"/>
          <w:smallCaps w:val="false"/>
          <w:sz w:val="20"/>
        </w:rPr>
        <w:t>As filed with the Securities and Exchange Commission on September 28,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333-297336</w:t>
      </w:r>
    </w:p>
    <w:p>
      <w:pPr>
        <w:pStyle w:val="TextBody"/>
        <w:bidi w:val="0"/>
        <w:ind w:left="740" w:right="74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b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Chilwa Minerals Limited</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Australia</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1400</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6005</w:t>
        <w:br/>
        <w:t>Australia</w:t>
        <w:br/>
        <w:t>+61 8 6189 4924</w:t>
        <w:br/>
      </w: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Vcorp Services, LLC</w:t>
        <w:br/>
        <w:t>25 Robert Pitt Drive, Suite 204</w:t>
        <w:br/>
        <w:t>Monsey, New York 10952</w:t>
        <w:br/>
        <w:t>Tel: +1 888 528 2677</w:t>
        <w:br/>
      </w: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480"/>
        <w:gridCol w:w="60"/>
        <w:gridCol w:w="2720"/>
      </w:tblGrid>
      <w:tr>
        <w:trPr/>
        <w:tc>
          <w:tcPr>
            <w:tcW w:w="24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Reilly</w:t>
              <w:br/>
              <w:t>Rimôn</w:t>
              <w:br/>
              <w:t>Level 2, 50 Bridge Street</w:t>
              <w:br/>
              <w:t>Sydney, NSW 2000, Australia</w:t>
              <w:br/>
              <w:t>+61 2 9055 6965</w:t>
              <w:br/>
              <w:t xml:space="preserve">andrew.reilly@rimonlaw.com </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Bernstein</w:t>
              <w:br/>
              <w:t>Ellenoff Grossman &amp; Schole LLP</w:t>
              <w:br/>
              <w:t>1345 Avenue of the Americas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br/>
              <w:t>mbernstein@egsllp.com</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Commission, acting pursuant to said section 8(a), may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(this “Amendment”) to our Registration Statement on Form F-1 (File No. 333-297336), initially filed on July 23, 2026 (the “Registration Statement”), is being filed as an </w:t>
      </w:r>
      <w:r>
        <w:rPr>
          <w:rFonts w:ascii="Times New Roman;Times;Serif" w:hAnsi="Times New Roman;Times;Serif"/>
          <w:b w:val="false"/>
          <w:i/>
          <w:caps w:val="false"/>
          <w:smallCaps w:val="false"/>
          <w:sz w:val="20"/>
        </w:rPr>
        <w:t>exhibits-only</w:t>
      </w:r>
      <w:r>
        <w:rPr>
          <w:rFonts w:ascii="Times New Roman;Times;Serif" w:hAnsi="Times New Roman;Times;Serif"/>
          <w:b w:val="false"/>
          <w:i w:val="false"/>
          <w:caps w:val="false"/>
          <w:smallCaps w:val="false"/>
          <w:sz w:val="20"/>
        </w:rPr>
        <w:t> filing to file an updated auditor consent. Accordingly, this Amendment consists only of the facing page, this explanatory note, Part II of the Registration Statement, including the signature page and the exhibit index and the filed exhibit. The remainder of the Registration Statement is unchanged and has been omitted from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Australian law. </w:t>
      </w:r>
      <w:r>
        <w:rPr>
          <w:rFonts w:ascii="Times New Roman;Times;Serif" w:hAnsi="Times New Roman;Times;Serif"/>
          <w:b w:val="false"/>
          <w:i w:val="false"/>
          <w:caps w:val="false"/>
          <w:smallCaps w:val="false"/>
          <w:sz w:val="20"/>
        </w:rPr>
        <w:t>Australian law provides that a company or a related body corporate of a company may provide for indemnification of officers and directors, except to the extent of any of the following liabilities incurred as an officer or director of the company:</w:t>
      </w:r>
    </w:p>
    <w:p>
      <w:pPr>
        <w:pStyle w:val="TextBody"/>
        <w:bidi w:val="0"/>
        <w:spacing w:before="0" w:after="0"/>
        <w:ind w:left="960" w:right="0" w:hanging="48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owed to the company or a related body corporate of the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for a pecuniary penalty order made under section 1317G or a compensation order under section 961M, 1317H, 1317HA, 1317HB 1317HC or 1317HE of the Corporations Act;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that is owed to someone other than the company or a related body corporate of the company and did not arise out of conduct in good faith;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costs incurred in defending an action for a liability incurred as an officer or auditor of the company if the costs are incurred:</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in which the person is found to have a liability for which they cannot be indemnified as set out above;</w:t>
            </w:r>
          </w:p>
        </w:tc>
      </w:tr>
    </w:tbl>
    <w:p>
      <w:pPr>
        <w:pStyle w:val="TextBody"/>
        <w:bidi w:val="0"/>
        <w:spacing w:before="0" w:after="0"/>
        <w:ind w:left="1440" w:right="0" w:hanging="480"/>
        <w:jc w:val="left"/>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criminal proceedings in which the person is found guilty;</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Securities&amp; Investments Commission or a liquidator as part of an investigation before commencing proceedings for a court order); or</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connection with proceedings for relief to the person under the Corporations Act 2001, in which the court denies the relief.</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Constitution. </w:t>
      </w:r>
      <w:r>
        <w:rPr>
          <w:rFonts w:ascii="Times New Roman;Times;Serif" w:hAnsi="Times New Roman;Times;Serif"/>
          <w:b w:val="false"/>
          <w:i w:val="false"/>
          <w:caps w:val="false"/>
          <w:smallCaps w:val="false"/>
          <w:sz w:val="20"/>
        </w:rPr>
        <w:t>Our Constitution provides that, except to the extent prohibited by the law and the Corporations Act and, to the extent that the officer is not otherwise indemnified by us pursuant to an indemnity, we indemnify every person who is or has been an officer of the Company against any liability or claim (other than legal costs that are unreasonable) incurred by that person as an officer. This includes any liability or claim incurred by that person in their capacity as an officer of a subsidiary of the Company where the Company requested that person to accept that appointment.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 Position. </w:t>
      </w: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July 1, 2023, the following changes have been made to our ordinary share capital:</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29, 2024, we issued 166,666 ordinary shares at an issue price of A$0.25, 166,666 ordinary shares at an issue price of A$0.30 and 166,667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22, 2024, we issued 4,287,070 ordinary shares in a placement to institutional and individual investors at an issue price of A$0.86.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5, 2024, we issued 1,139,546 ordinary shares comprising 813,965 shares under a share purchase plan and 325,581 shares at an issue price of A$0.86 in a placement to an individual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January 16, 2025, we issued 2,638,851 ordinary shares at an issue price of A$0.86 in a placement to directors of the Company (Cadell Buss (9,000), Alexander Shaw (58,140), Manuel Mota (116,279)) and major shareholder (Luso Global Mining BV) (2,455,432).</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30, 2025, we issued 2,500,000 ordinary shares upon the exercise of performance rights by a director, employee and former employees (Cadell Buss (1,721,740), Pauline Blundell (75,000), John Lewis (175,000), and Philip Lucas (528,260)).</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4, 2025, we issued 198,886 ordinary shares at an issue price of A$0.25, 249,911 ordinary shares at an issue price of A$0.30 and 102,605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7, 2025, we issued 3,544,922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14, 2025, we issued 258,535 ordinary shares at an issue price of A$0.25, 8,535 ordinary shares at an issue price of A$0.30 and 8,535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9, 2025, we issued 338,096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11, 2025, we issued 190,000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10, 2025, we issued 47,619 ordinary shares at an issue price of A$1.05 in placement to directors (Cadell Buss (28,571) and Alexander Shaw (19,048)).</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21, 2025, we issued 180,250 ordinary shares at an issue price of A$0.30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October 31, 2025, we issued 3,891,666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November 5, 2025, we issued 1,087,667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6, 2025, we issued 18,250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7, 2025 we issued 7,500,000 ordinary shares upon the exercise of Class A performance rights by Luso Global Mining BV.</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20, 2025, we issued 180,249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27, 2025, we issued 56,250 ordinary shares at an issue price of A$0.30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15, 2026, we issued 28,146 ordinary shares at an issue price of A$0.25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19, 2026, we issued 1,708,527 ordinary shares at an issue price of A$1.20 in a placement to directors and related parties (Cadell Buss (16,667), José Martins (191,860) and Mota Gestão e Participações SGPS SA (1,500,000)).</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February 19, 2026, we issued 8,042 ordinary shares at an issue price of A$0.25, 55,146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May 21, 2026, we issued 48,250 ordinary shares at an issue price of A$0.25 and 30,537 ordinary shares at an issue price of A$0.40 upon the exercise of unquoted options granted in connection with a capital raising transaction  </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 underwriting discounts or commissions, or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960" w:right="0" w:hanging="480"/>
        <w:jc w:val="left"/>
        <w:rPr>
          <w:caps w:val="false"/>
          <w:smallCaps w:val="false"/>
        </w:rPr>
      </w:pPr>
      <w:r>
        <w:rPr>
          <w:caps w:val="false"/>
          <w:smallCaps w:val="false"/>
        </w:rPr>
        <w:t> </w:t>
      </w:r>
    </w:p>
    <w:tbl>
      <w:tblPr>
        <w:tblW w:w="1173" w:type="dxa"/>
        <w:jc w:val="left"/>
        <w:tblInd w:w="0" w:type="dxa"/>
        <w:tblLayout w:type="fixed"/>
        <w:tblCellMar>
          <w:top w:w="0" w:type="dxa"/>
          <w:left w:w="0" w:type="dxa"/>
          <w:bottom w:w="0" w:type="dxa"/>
          <w:right w:w="0" w:type="dxa"/>
        </w:tblCellMar>
      </w:tblPr>
      <w:tblGrid>
        <w:gridCol w:w="38"/>
        <w:gridCol w:w="29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(a)</w:t>
            </w:r>
          </w:p>
        </w:tc>
        <w:tc>
          <w:tcPr>
            <w:tcW w:w="845"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Exhibits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Form of Underwriting Agreement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Constitution of Chilwa Minerals Limited</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Form of Deposit Agreement between Chilwa Minerals Limited and The Bank of New York Mellon as Depositary</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American Depositary Receipt (included in Exhibit 4.1)</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Form of Representative’s Warrant</w:t>
              </w:r>
            </w:hyperlink>
          </w:p>
        </w:tc>
      </w:tr>
      <w:tr>
        <w:trPr/>
        <w:tc>
          <w:tcPr>
            <w:tcW w:w="665"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7">
              <w:r>
                <w:rPr>
                  <w:rStyle w:val="InternetLink"/>
                </w:rPr>
                <w:t>Form of Global Warrant to Purchase ADSs (included in Exhibit 4.5)</w:t>
              </w:r>
            </w:hyperlink>
          </w:p>
        </w:tc>
      </w:tr>
      <w:tr>
        <w:trPr/>
        <w:tc>
          <w:tcPr>
            <w:tcW w:w="665"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8">
              <w:r>
                <w:rPr>
                  <w:rStyle w:val="InternetLink"/>
                </w:rPr>
                <w:t>Form of ADS Warrant Agent Agreement between Chilwa Minerals Limited and Computershare Inc., as warrant agent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Opinion of Rimon regarding the validity of the ordinary shares being issued and the ordinary shares underlying the warrants</w:t>
              </w:r>
            </w:hyperlink>
          </w:p>
        </w:tc>
      </w:tr>
      <w:tr>
        <w:trPr/>
        <w:tc>
          <w:tcPr>
            <w:tcW w:w="665" w:type="dxa"/>
            <w:tcBorders/>
            <w:shd w:fill="CCEEFF" w:val="clear"/>
            <w:tcMar>
              <w:bottom w:w="0" w:type="dxa"/>
            </w:tcMar>
            <w:vAlign w:val="center"/>
          </w:tcPr>
          <w:p>
            <w:pPr>
              <w:pStyle w:val="TableContents"/>
              <w:bidi w:val="0"/>
              <w:spacing w:before="0" w:after="283"/>
              <w:jc w:val="lef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0">
              <w:r>
                <w:rPr>
                  <w:rStyle w:val="InternetLink"/>
                </w:rPr>
                <w:t>Opinion of Rimon regarding the validity of the warrants</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1">
              <w:r>
                <w:rPr>
                  <w:rStyle w:val="InternetLink"/>
                </w:rPr>
                <w:t>Executive Services Agreement between Chilwa Minerals Limited and Cadell Buss, dated July 1, 2023</w:t>
              </w:r>
            </w:hyperlink>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10.2</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Engagement Letter between Chilwa Minerals Limited and Mark Laybourn, dated February 17, 2026</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21.1</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List of subsidiaries of Registrant</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w:anchor="ea030676201ex23-1.htm">
              <w:r>
                <w:rPr>
                  <w:rStyle w:val="InternetLink"/>
                  <w:rFonts w:ascii="Times New Roman;Times;Serif" w:hAnsi="Times New Roman;Times;Serif"/>
                  <w:sz w:val="20"/>
                </w:rPr>
                <w:t>Consent of BDO Audit Pty Ltd</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23.2</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Consent of Rimon (included in Exhibit 5.1)</w:t>
              </w:r>
            </w:hyperlink>
          </w:p>
        </w:tc>
      </w:tr>
      <w:tr>
        <w:trPr/>
        <w:tc>
          <w:tcPr>
            <w:tcW w:w="665" w:type="dxa"/>
            <w:tcBorders/>
            <w:shd w:fill="CCEEFF" w:val="clear"/>
            <w:tcMar>
              <w:bottom w:w="0" w:type="dxa"/>
            </w:tcMar>
            <w:vAlign w:val="center"/>
          </w:tcPr>
          <w:p>
            <w:pPr>
              <w:pStyle w:val="TableContents"/>
              <w:bidi w:val="0"/>
              <w:spacing w:before="0" w:after="283"/>
              <w:jc w:val="left"/>
              <w:rPr/>
            </w:pPr>
            <w:r>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5">
              <w:r>
                <w:rPr>
                  <w:rStyle w:val="InternetLink"/>
                </w:rPr>
                <w:t>Consent of Rimon (included in Exhibit 5.2)</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"http://www.sec.gov/Archives/edgar/data/2113605/000121390026080580/ea0298831-f1a1_chilwa.htm" \l "h_002"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(included in signature page to Registration Statement)</w:t>
            </w:r>
            <w:r>
              <w:rPr>
                <w:rStyle w:val="InternetLink"/>
                <w:sz w:val="20"/>
                <w:rFonts w:ascii="Times New Roman;Times;Serif" w:hAnsi="Times New Roman;Times;Serif"/>
              </w:rPr>
              <w:fldChar w:fldCharType="end"/>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Filing Fee Table</w:t>
              </w:r>
            </w:hyperlink>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660" w:type="dxa"/>
        <w:jc w:val="left"/>
        <w:tblInd w:w="0" w:type="dxa"/>
        <w:tblLayout w:type="fixed"/>
        <w:tblCellMar>
          <w:top w:w="0" w:type="dxa"/>
          <w:left w:w="0" w:type="dxa"/>
          <w:bottom w:w="0" w:type="dxa"/>
          <w:right w:w="0" w:type="dxa"/>
        </w:tblCellMar>
      </w:tblPr>
      <w:tblGrid>
        <w:gridCol w:w="155"/>
        <w:gridCol w:w="1505"/>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h_002"/>
      <w:bookmarkEnd w:id="2"/>
      <w:r>
        <w:rPr>
          <w:rFonts w:ascii="Times New Roman;Times;Serif" w:hAnsi="Times New Roman;Times;Serif"/>
          <w:b/>
          <w:i w:val="false"/>
          <w:caps w:val="false"/>
          <w:smallCaps w:val="false"/>
          <w:sz w:val="20"/>
        </w:rPr>
        <w:t>SIGNATURES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Perth, Australia on September 28, 2026.</w:t>
      </w:r>
    </w:p>
    <w:p>
      <w:pPr>
        <w:pStyle w:val="TextBody"/>
        <w:bidi w:val="0"/>
        <w:spacing w:before="0" w:after="0"/>
        <w:ind w:left="0" w:right="0" w:firstLine="48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590"/>
        <w:gridCol w:w="2300"/>
      </w:tblGrid>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Cadell Buss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w:t>
              <w:br/>
              <w:t>Managing Director</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 5 to the registration statement has been signed by the following persons on behalf of the registrant and in the capacities and on the dates indicated:</w:t>
      </w:r>
    </w:p>
    <w:p>
      <w:pPr>
        <w:pStyle w:val="TextBody"/>
        <w:bidi w:val="0"/>
        <w:spacing w:before="0" w:after="0"/>
        <w:ind w:left="0" w:right="0" w:firstLine="480"/>
        <w:jc w:val="left"/>
        <w:rPr>
          <w:caps w:val="false"/>
          <w:smallCaps w:val="false"/>
        </w:rPr>
      </w:pPr>
      <w:r>
        <w:rPr>
          <w:caps w:val="false"/>
          <w:smallCaps w:val="false"/>
        </w:rPr>
        <w:t> </w:t>
      </w:r>
    </w:p>
    <w:tbl>
      <w:tblPr>
        <w:tblW w:w="7245" w:type="dxa"/>
        <w:jc w:val="left"/>
        <w:tblInd w:w="0" w:type="dxa"/>
        <w:tblLayout w:type="fixed"/>
        <w:tblCellMar>
          <w:top w:w="0" w:type="dxa"/>
          <w:left w:w="0" w:type="dxa"/>
          <w:bottom w:w="28" w:type="dxa"/>
          <w:right w:w="0" w:type="dxa"/>
        </w:tblCellMar>
      </w:tblPr>
      <w:tblGrid>
        <w:gridCol w:w="1595"/>
        <w:gridCol w:w="60"/>
        <w:gridCol w:w="3875"/>
        <w:gridCol w:w="60"/>
        <w:gridCol w:w="1655"/>
      </w:tblGrid>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Cadell Buss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Managing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Laybourn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(principal financial officer and </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28,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40"/>
        <w:gridCol w:w="1325"/>
        <w:gridCol w:w="75"/>
      </w:tblGrid>
      <w:tr>
        <w:trPr/>
        <w:tc>
          <w:tcPr>
            <w:tcW w:w="440" w:type="dxa"/>
            <w:tcBorders/>
            <w:vAlign w:val="center"/>
          </w:tcPr>
          <w:p>
            <w:pPr>
              <w:pStyle w:val="TableContents"/>
              <w:bidi w:val="0"/>
              <w:spacing w:before="0" w:after="283"/>
              <w:jc w:val="left"/>
              <w:rPr>
                <w:sz w:val="20"/>
              </w:rPr>
            </w:pPr>
            <w:r>
              <w:rPr>
                <w:sz w:val="20"/>
              </w:rPr>
              <w:t>*By:</w:t>
            </w:r>
          </w:p>
        </w:tc>
        <w:tc>
          <w:tcPr>
            <w:tcW w:w="13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i/>
                <w:sz w:val="20"/>
              </w:rPr>
            </w:pPr>
            <w:r>
              <w:rPr>
                <w:i/>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the Registrant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Chilwa Minerals Limited, has signed this Amendment No. 5 to the Registration Statement on September 28, 2026.</w:t>
      </w:r>
    </w:p>
    <w:p>
      <w:pPr>
        <w:pStyle w:val="TextBody"/>
        <w:bidi w:val="0"/>
        <w:spacing w:before="0" w:after="0"/>
        <w:ind w:left="0" w:right="0" w:firstLine="48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590"/>
        <w:gridCol w:w="168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676201ex23-1.htm"/>
      <w:bookmarkStart w:id="4" w:name="ksea030676201ex231"/>
      <w:bookmarkEnd w:id="3"/>
      <w:bookmarkEnd w:id="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March 12, 2026, relating to the consolidated financial statements of Chilwa Minerals Limited (the Company), which is contained in that Prospectus. Our report contains an explanatory paragraph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Audit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Brisbane, Australia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13605/000121390026091921/ea030252101ex1-1.htm" TargetMode="External"/><Relationship Id="rId3" Type="http://schemas.openxmlformats.org/officeDocument/2006/relationships/hyperlink" Target="http://www.sec.gov/Archives/edgar/data/2113605/000121390026076634/ea029608201ex3-1.htm" TargetMode="External"/><Relationship Id="rId4" Type="http://schemas.openxmlformats.org/officeDocument/2006/relationships/hyperlink" Target="http://www.sec.gov/Archives/edgar/data/2113605/000121390026080580/ea029883101ex4-1.htm" TargetMode="External"/><Relationship Id="rId5" Type="http://schemas.openxmlformats.org/officeDocument/2006/relationships/hyperlink" Target="http://www.sec.gov/Archives/edgar/data/2113605/000121390026080580/ea029883101ex4-1.htm" TargetMode="External"/><Relationship Id="rId6" Type="http://schemas.openxmlformats.org/officeDocument/2006/relationships/hyperlink" Target="https://www.sec.gov/Archives/edgar/data/2113605/000121390026097374/ea030358701ex4-3.htm" TargetMode="External"/><Relationship Id="rId7" Type="http://schemas.openxmlformats.org/officeDocument/2006/relationships/hyperlink" Target="https://www.sec.gov/Archives/edgar/data/2113605/000121390026097374/ea030358701ex4-5.htm" TargetMode="External"/><Relationship Id="rId8" Type="http://schemas.openxmlformats.org/officeDocument/2006/relationships/hyperlink" Target="https://www.sec.gov/Archives/edgar/data/2113605/000121390026097374/ea030358701ex4-5.htm" TargetMode="External"/><Relationship Id="rId9" Type="http://schemas.openxmlformats.org/officeDocument/2006/relationships/hyperlink" Target="http://www.sec.gov/Archives/edgar/data/2113605/000121390026091921/ea030252101ex5-1.htm" TargetMode="External"/><Relationship Id="rId10" Type="http://schemas.openxmlformats.org/officeDocument/2006/relationships/hyperlink" Target="http://www.sec.gov/Archives/edgar/data/2113605/000121390026091921/ea030252101ex5-2.htm" TargetMode="External"/><Relationship Id="rId11" Type="http://schemas.openxmlformats.org/officeDocument/2006/relationships/hyperlink" Target="http://www.sec.gov/Archives/edgar/data/2113605/000121390026076634/ea029608201ex10-1.htm" TargetMode="External"/><Relationship Id="rId12" Type="http://schemas.openxmlformats.org/officeDocument/2006/relationships/hyperlink" Target="http://www.sec.gov/Archives/edgar/data/2113605/000121390026076634/ea029608201ex10-2.htm" TargetMode="External"/><Relationship Id="rId13" Type="http://schemas.openxmlformats.org/officeDocument/2006/relationships/hyperlink" Target="http://www.sec.gov/Archives/edgar/data/2113605/000121390026076634/ea029608201ex21-1.htm" TargetMode="External"/><Relationship Id="rId14" Type="http://schemas.openxmlformats.org/officeDocument/2006/relationships/hyperlink" Target="http://www.sec.gov/Archives/edgar/data/2113605/000121390026091921/ea030252101ex5-1.htm" TargetMode="External"/><Relationship Id="rId15" Type="http://schemas.openxmlformats.org/officeDocument/2006/relationships/hyperlink" Target="http://www.sec.gov/Archives/edgar/data/2113605/000121390026091921/ea030252101ex5-2.htm" TargetMode="External"/><Relationship Id="rId16" Type="http://schemas.openxmlformats.org/officeDocument/2006/relationships/hyperlink" Target="http://www.sec.gov/Archives/edgar/data/2113605/000121390026086908/ea030068201ex-fee.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2748</Words>
  <Characters>14585</Characters>
  <CharactersWithSpaces>17359</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